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游ゴシック" w:cs="游ゴシック" w:eastAsia="游ゴシック" w:hAnsi="游ゴシック"/>
          <w:b/>
          <w:bCs/>
          <w:color w:val="1D7A56"/>
          <w:sz w:val="22"/>
          <w:szCs w:val="22"/>
        </w:rPr>
        <w:t xml:space="preserve">適性検査ポテクト「ハラスメント傾向分析」</w:t>
      </w:r>
    </w:p>
    <w:p>
      <w:pPr>
        <w:pStyle w:val="Heading1"/>
        <w:pBdr>
          <w:bottom w:val="single" w:color="1D7A56" w:sz="12" w:space="4"/>
        </w:pBdr>
        <w:spacing w:after="160" w:before="120"/>
      </w:pPr>
      <w:r>
        <w:rPr>
          <w:rFonts w:ascii="游ゴシック" w:cs="游ゴシック" w:eastAsia="游ゴシック" w:hAnsi="游ゴシック"/>
          <w:b/>
          <w:bCs/>
          <w:color w:val="15372B"/>
          <w:sz w:val="32"/>
          <w:szCs w:val="32"/>
        </w:rPr>
        <w:t xml:space="preserve">受検のご案内文　テンプレート</w:t>
      </w:r>
    </w:p>
    <w:p>
      <w:pPr>
        <w:spacing w:after="80" w:line="340"/>
      </w:pPr>
      <w:r>
        <w:rPr>
          <w:rFonts w:ascii="游ゴシック" w:cs="游ゴシック" w:eastAsia="游ゴシック" w:hAnsi="游ゴシック"/>
          <w:sz w:val="21"/>
          <w:szCs w:val="21"/>
        </w:rPr>
        <w:t xml:space="preserve">ハラスメント傾向分析を研修などで実施する前に、受講者へ「実施の目的」と「結果を誰が見るか」をお知らせいただくための例文です。社内メールや通知文にそのままお使いいただけます。</w:t>
      </w:r>
    </w:p>
    <w:p>
      <w:pPr>
        <w:pStyle w:val="Heading2"/>
        <w:spacing w:after="100" w:before="240"/>
      </w:pPr>
      <w:r>
        <w:rPr>
          <w:rFonts w:ascii="游ゴシック" w:cs="游ゴシック" w:eastAsia="游ゴシック" w:hAnsi="游ゴシック"/>
          <w:b/>
          <w:bCs/>
          <w:color w:val="1D7A56"/>
          <w:sz w:val="24"/>
          <w:szCs w:val="24"/>
        </w:rPr>
        <w:t xml:space="preserve">使い方（人事ご担当者向け・このページは配布しないでください）</w:t>
      </w:r>
    </w:p>
    <w:p>
      <w:pPr>
        <w:pStyle w:val="ListParagraph"/>
        <w:numPr>
          <w:ilvl w:val="0"/>
          <w:numId w:val="2"/>
        </w:numPr>
        <w:spacing w:after="40" w:line="320"/>
      </w:pPr>
      <w:r>
        <w:rPr>
          <w:rFonts w:ascii="游ゴシック" w:cs="游ゴシック" w:eastAsia="游ゴシック" w:hAnsi="游ゴシック"/>
          <w:sz w:val="21"/>
          <w:szCs w:val="21"/>
        </w:rPr>
        <w:t xml:space="preserve">黄色の</w:t>
      </w:r>
      <w:r>
        <w:rPr>
          <w:rFonts w:ascii="游ゴシック" w:cs="游ゴシック" w:eastAsia="游ゴシック" w:hAnsi="游ゴシック"/>
          <w:sz w:val="21"/>
          <w:szCs w:val="21"/>
          <w:highlight w:val="yellow"/>
        </w:rPr>
        <w:t xml:space="preserve">【　】</w:t>
      </w:r>
      <w:r>
        <w:rPr>
          <w:rFonts w:ascii="游ゴシック" w:cs="游ゴシック" w:eastAsia="游ゴシック" w:hAnsi="游ゴシック"/>
          <w:sz w:val="21"/>
          <w:szCs w:val="21"/>
        </w:rPr>
        <w:t xml:space="preserve">の部分を、貴社の内容に書き換えてください。</w:t>
      </w:r>
    </w:p>
    <w:p>
      <w:pPr>
        <w:pStyle w:val="ListParagraph"/>
        <w:numPr>
          <w:ilvl w:val="0"/>
          <w:numId w:val="2"/>
        </w:numPr>
        <w:spacing w:after="40" w:line="320"/>
      </w:pPr>
      <w:r>
        <w:rPr>
          <w:rFonts w:ascii="游ゴシック" w:cs="游ゴシック" w:eastAsia="游ゴシック" w:hAnsi="游ゴシック"/>
          <w:sz w:val="21"/>
          <w:szCs w:val="21"/>
        </w:rPr>
        <w:t xml:space="preserve">結果の届け先に合わせて、例文の「結果の届け先」の段落を下の表から1つ選んでください。</w:t>
      </w:r>
    </w:p>
    <w:p>
      <w:pPr>
        <w:pStyle w:val="ListParagraph"/>
        <w:numPr>
          <w:ilvl w:val="0"/>
          <w:numId w:val="2"/>
        </w:numPr>
        <w:spacing w:after="40" w:line="320"/>
      </w:pPr>
      <w:r>
        <w:rPr>
          <w:rFonts w:ascii="游ゴシック" w:cs="游ゴシック" w:eastAsia="游ゴシック" w:hAnsi="游ゴシック"/>
          <w:sz w:val="21"/>
          <w:szCs w:val="21"/>
        </w:rPr>
        <w:t xml:space="preserve">研修日の1〜2週間前を目安にお送りください。受検期限は、研修日の数日前に設定すると結果が研修に間に合います（結果は受検完了の翌営業日以降にお届けします）。</w:t>
      </w:r>
    </w:p>
    <w:p>
      <w:pPr>
        <w:pStyle w:val="ListParagraph"/>
        <w:numPr>
          <w:ilvl w:val="0"/>
          <w:numId w:val="2"/>
        </w:numPr>
        <w:spacing w:after="40" w:line="320"/>
      </w:pPr>
      <w:r>
        <w:rPr>
          <w:rFonts w:ascii="游ゴシック" w:cs="游ゴシック" w:eastAsia="游ゴシック" w:hAnsi="游ゴシック"/>
          <w:sz w:val="21"/>
          <w:szCs w:val="21"/>
        </w:rPr>
        <w:t xml:space="preserve">届け先が「人事のみ」の場合は、例文の「ご本人あての結果のメールは…」の1文を削除してください。</w:t>
      </w:r>
    </w:p>
    <w:p>
      <w:pPr>
        <w:pStyle w:val="ListParagraph"/>
        <w:numPr>
          <w:ilvl w:val="0"/>
          <w:numId w:val="2"/>
        </w:numPr>
        <w:spacing w:after="40" w:line="320"/>
      </w:pPr>
      <w:r>
        <w:rPr>
          <w:rFonts w:ascii="游ゴシック" w:cs="游ゴシック" w:eastAsia="游ゴシック" w:hAnsi="游ゴシック"/>
          <w:sz w:val="21"/>
          <w:szCs w:val="21"/>
        </w:rPr>
        <w:t xml:space="preserve">「人事評価や昇進の判断には使わない」など、例文の約束ごとは、貴社の実際の運用と同じ内容にしてください。運用と違うことは書かないでください。</w:t>
      </w:r>
    </w:p>
    <w:p>
      <w:pPr>
        <w:pStyle w:val="ListParagraph"/>
        <w:numPr>
          <w:ilvl w:val="0"/>
          <w:numId w:val="2"/>
        </w:numPr>
        <w:spacing w:after="40" w:line="320"/>
      </w:pPr>
      <w:r>
        <w:rPr>
          <w:rFonts w:ascii="游ゴシック" w:cs="游ゴシック" w:eastAsia="游ゴシック" w:hAnsi="游ゴシック"/>
          <w:sz w:val="21"/>
          <w:szCs w:val="21"/>
        </w:rPr>
        <w:t xml:space="preserve">この例文は参考例です。社内規程や個人情報の取り扱いについては、必要に応じて貴社の法務・労務ご担当者にご確認ください。</w:t>
      </w:r>
    </w:p>
    <w:p>
      <w:pPr>
        <w:pStyle w:val="Heading2"/>
        <w:spacing w:after="100" w:before="240"/>
      </w:pPr>
      <w:r>
        <w:rPr>
          <w:rFonts w:ascii="游ゴシック" w:cs="游ゴシック" w:eastAsia="游ゴシック" w:hAnsi="游ゴシック"/>
          <w:b/>
          <w:bCs/>
          <w:color w:val="1D7A56"/>
          <w:sz w:val="24"/>
          <w:szCs w:val="24"/>
        </w:rPr>
        <w:t xml:space="preserve">「結果の届け先」の段落（1つ選んで例文に入れる）</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00"/>
        <w:gridCol w:w="7338"/>
      </w:tblGrid>
      <w:tr>
        <w:tc>
          <w:tcPr>
            <w:tcW w:type="dxa" w:w="2300"/>
            <w:tcBorders>
              <w:top w:val="single" w:color="B9CFC2" w:sz="6"/>
              <w:left w:val="single" w:color="B9CFC2" w:sz="6"/>
              <w:bottom w:val="single" w:color="B9CFC2" w:sz="6"/>
              <w:right w:val="single" w:color="B9CFC2" w:sz="6"/>
            </w:tcBorders>
            <w:shd w:fill="E3F1E8" w:color="auto" w:val="clear"/>
            <w:tcMar>
              <w:top w:type="dxa" w:w="80"/>
              <w:left w:type="dxa" w:w="120"/>
              <w:bottom w:type="dxa" w:w="80"/>
              <w:right w:type="dxa" w:w="120"/>
            </w:tcMar>
          </w:tcPr>
          <w:p>
            <w:pPr>
              <w:spacing w:after="20" w:line="340"/>
            </w:pPr>
            <w:r>
              <w:rPr>
                <w:rFonts w:ascii="游ゴシック" w:cs="游ゴシック" w:eastAsia="游ゴシック" w:hAnsi="游ゴシック"/>
                <w:b/>
                <w:bCs/>
                <w:sz w:val="21"/>
                <w:szCs w:val="21"/>
              </w:rPr>
              <w:t xml:space="preserve">届け先</w:t>
            </w:r>
          </w:p>
        </w:tc>
        <w:tc>
          <w:tcPr>
            <w:tcW w:type="dxa" w:w="7338"/>
            <w:tcBorders>
              <w:top w:val="single" w:color="B9CFC2" w:sz="6"/>
              <w:left w:val="single" w:color="B9CFC2" w:sz="6"/>
              <w:bottom w:val="single" w:color="B9CFC2" w:sz="6"/>
              <w:right w:val="single" w:color="B9CFC2" w:sz="6"/>
            </w:tcBorders>
            <w:shd w:fill="E3F1E8" w:color="auto" w:val="clear"/>
            <w:tcMar>
              <w:top w:type="dxa" w:w="80"/>
              <w:left w:type="dxa" w:w="120"/>
              <w:bottom w:type="dxa" w:w="80"/>
              <w:right w:type="dxa" w:w="120"/>
            </w:tcMar>
          </w:tcPr>
          <w:p>
            <w:pPr>
              <w:spacing w:after="20" w:line="340"/>
            </w:pPr>
            <w:r>
              <w:rPr>
                <w:rFonts w:ascii="游ゴシック" w:cs="游ゴシック" w:eastAsia="游ゴシック" w:hAnsi="游ゴシック"/>
                <w:b/>
                <w:bCs/>
                <w:sz w:val="21"/>
                <w:szCs w:val="21"/>
              </w:rPr>
              <w:t xml:space="preserve">例文に入れる段落</w:t>
            </w:r>
          </w:p>
        </w:tc>
      </w:tr>
      <w:tr>
        <w:tc>
          <w:tcPr>
            <w:tcW w:type="dxa" w:w="2300"/>
            <w:tcBorders>
              <w:top w:val="single" w:color="B9CFC2" w:sz="6"/>
              <w:left w:val="single" w:color="B9CFC2" w:sz="6"/>
              <w:bottom w:val="single" w:color="B9CFC2" w:sz="6"/>
              <w:right w:val="single" w:color="B9CFC2" w:sz="6"/>
            </w:tcBorders>
            <w:tcMar>
              <w:top w:type="dxa" w:w="80"/>
              <w:left w:type="dxa" w:w="120"/>
              <w:bottom w:type="dxa" w:w="80"/>
              <w:right w:type="dxa" w:w="120"/>
            </w:tcMar>
          </w:tcPr>
          <w:p>
            <w:pPr>
              <w:spacing w:after="20" w:line="340"/>
            </w:pPr>
            <w:r>
              <w:rPr>
                <w:rFonts w:ascii="游ゴシック" w:cs="游ゴシック" w:eastAsia="游ゴシック" w:hAnsi="游ゴシック"/>
                <w:b w:val="false"/>
                <w:bCs w:val="false"/>
                <w:sz w:val="21"/>
                <w:szCs w:val="21"/>
              </w:rPr>
              <w:t xml:space="preserve">受講者本人のみ</w:t>
            </w:r>
          </w:p>
          <w:p>
            <w:pPr>
              <w:spacing w:after="20" w:line="340"/>
            </w:pPr>
            <w:r>
              <w:rPr>
                <w:rFonts w:ascii="游ゴシック" w:cs="游ゴシック" w:eastAsia="游ゴシック" w:hAnsi="游ゴシック"/>
                <w:b w:val="false"/>
                <w:bCs w:val="false"/>
                <w:sz w:val="21"/>
                <w:szCs w:val="21"/>
              </w:rPr>
              <w:t xml:space="preserve">（研修で多い方法）</w:t>
            </w:r>
          </w:p>
        </w:tc>
        <w:tc>
          <w:tcPr>
            <w:tcW w:type="dxa" w:w="7338"/>
            <w:tcBorders>
              <w:top w:val="single" w:color="B9CFC2" w:sz="6"/>
              <w:left w:val="single" w:color="B9CFC2" w:sz="6"/>
              <w:bottom w:val="single" w:color="B9CFC2" w:sz="6"/>
              <w:right w:val="single" w:color="B9CFC2" w:sz="6"/>
            </w:tcBorders>
            <w:tcMar>
              <w:top w:type="dxa" w:w="80"/>
              <w:left w:type="dxa" w:w="120"/>
              <w:bottom w:type="dxa" w:w="80"/>
              <w:right w:type="dxa" w:w="120"/>
            </w:tcMar>
          </w:tcPr>
          <w:p>
            <w:pPr>
              <w:spacing w:after="20" w:line="340"/>
            </w:pPr>
            <w:r>
              <w:rPr>
                <w:rFonts w:ascii="游ゴシック" w:cs="游ゴシック" w:eastAsia="游ゴシック" w:hAnsi="游ゴシック"/>
                <w:b w:val="false"/>
                <w:bCs w:val="false"/>
                <w:sz w:val="21"/>
                <w:szCs w:val="21"/>
              </w:rPr>
              <w:t xml:space="preserve">結果は、検査の提供会社から受検者ご本人のメールアドレスへ直接お送りします。人事部には、個人の結果は届きません。</w:t>
            </w:r>
          </w:p>
        </w:tc>
      </w:tr>
      <w:tr>
        <w:tc>
          <w:tcPr>
            <w:tcW w:type="dxa" w:w="2300"/>
            <w:tcBorders>
              <w:top w:val="single" w:color="B9CFC2" w:sz="6"/>
              <w:left w:val="single" w:color="B9CFC2" w:sz="6"/>
              <w:bottom w:val="single" w:color="B9CFC2" w:sz="6"/>
              <w:right w:val="single" w:color="B9CFC2" w:sz="6"/>
            </w:tcBorders>
            <w:tcMar>
              <w:top w:type="dxa" w:w="80"/>
              <w:left w:type="dxa" w:w="120"/>
              <w:bottom w:type="dxa" w:w="80"/>
              <w:right w:type="dxa" w:w="120"/>
            </w:tcMar>
          </w:tcPr>
          <w:p>
            <w:pPr>
              <w:spacing w:after="20" w:line="340"/>
            </w:pPr>
            <w:r>
              <w:rPr>
                <w:rFonts w:ascii="游ゴシック" w:cs="游ゴシック" w:eastAsia="游ゴシック" w:hAnsi="游ゴシック"/>
                <w:b w:val="false"/>
                <w:bCs w:val="false"/>
                <w:sz w:val="21"/>
                <w:szCs w:val="21"/>
              </w:rPr>
              <w:t xml:space="preserve">本人と人事</w:t>
            </w:r>
          </w:p>
        </w:tc>
        <w:tc>
          <w:tcPr>
            <w:tcW w:type="dxa" w:w="7338"/>
            <w:tcBorders>
              <w:top w:val="single" w:color="B9CFC2" w:sz="6"/>
              <w:left w:val="single" w:color="B9CFC2" w:sz="6"/>
              <w:bottom w:val="single" w:color="B9CFC2" w:sz="6"/>
              <w:right w:val="single" w:color="B9CFC2" w:sz="6"/>
            </w:tcBorders>
            <w:tcMar>
              <w:top w:type="dxa" w:w="80"/>
              <w:left w:type="dxa" w:w="120"/>
              <w:bottom w:type="dxa" w:w="80"/>
              <w:right w:type="dxa" w:w="120"/>
            </w:tcMar>
          </w:tcPr>
          <w:p>
            <w:pPr>
              <w:spacing w:after="20" w:line="340"/>
            </w:pPr>
            <w:r>
              <w:rPr>
                <w:rFonts w:ascii="游ゴシック" w:cs="游ゴシック" w:eastAsia="游ゴシック" w:hAnsi="游ゴシック"/>
                <w:b w:val="false"/>
                <w:bCs w:val="false"/>
                <w:sz w:val="21"/>
                <w:szCs w:val="21"/>
              </w:rPr>
              <w:t xml:space="preserve">結果は、検査の提供会社から受検者ご本人へ直接お送りするとともに、人事部</w:t>
            </w:r>
            <w:r>
              <w:rPr>
                <w:rFonts w:ascii="游ゴシック" w:cs="游ゴシック" w:eastAsia="游ゴシック" w:hAnsi="游ゴシック"/>
                <w:b w:val="false"/>
                <w:bCs w:val="false"/>
                <w:sz w:val="21"/>
                <w:szCs w:val="21"/>
                <w:highlight w:val="yellow"/>
              </w:rPr>
              <w:t xml:space="preserve">【担当者名】</w:t>
            </w:r>
            <w:r>
              <w:rPr>
                <w:rFonts w:ascii="游ゴシック" w:cs="游ゴシック" w:eastAsia="游ゴシック" w:hAnsi="游ゴシック"/>
                <w:b w:val="false"/>
                <w:bCs w:val="false"/>
                <w:sz w:val="21"/>
                <w:szCs w:val="21"/>
              </w:rPr>
              <w:t xml:space="preserve">にも届きます。人事部で結果を見るのは</w:t>
            </w:r>
            <w:r>
              <w:rPr>
                <w:rFonts w:ascii="游ゴシック" w:cs="游ゴシック" w:eastAsia="游ゴシック" w:hAnsi="游ゴシック"/>
                <w:b w:val="false"/>
                <w:bCs w:val="false"/>
                <w:sz w:val="21"/>
                <w:szCs w:val="21"/>
                <w:highlight w:val="yellow"/>
              </w:rPr>
              <w:t xml:space="preserve">【担当者の範囲】</w:t>
            </w:r>
            <w:r>
              <w:rPr>
                <w:rFonts w:ascii="游ゴシック" w:cs="游ゴシック" w:eastAsia="游ゴシック" w:hAnsi="游ゴシック"/>
                <w:b w:val="false"/>
                <w:bCs w:val="false"/>
                <w:sz w:val="21"/>
                <w:szCs w:val="21"/>
              </w:rPr>
              <w:t xml:space="preserve">に限り、ほかの方には共有しません。</w:t>
            </w:r>
          </w:p>
        </w:tc>
      </w:tr>
      <w:tr>
        <w:tc>
          <w:tcPr>
            <w:tcW w:type="dxa" w:w="2300"/>
            <w:tcBorders>
              <w:top w:val="single" w:color="B9CFC2" w:sz="6"/>
              <w:left w:val="single" w:color="B9CFC2" w:sz="6"/>
              <w:bottom w:val="single" w:color="B9CFC2" w:sz="6"/>
              <w:right w:val="single" w:color="B9CFC2" w:sz="6"/>
            </w:tcBorders>
            <w:tcMar>
              <w:top w:type="dxa" w:w="80"/>
              <w:left w:type="dxa" w:w="120"/>
              <w:bottom w:type="dxa" w:w="80"/>
              <w:right w:type="dxa" w:w="120"/>
            </w:tcMar>
          </w:tcPr>
          <w:p>
            <w:pPr>
              <w:spacing w:after="20" w:line="340"/>
            </w:pPr>
            <w:r>
              <w:rPr>
                <w:rFonts w:ascii="游ゴシック" w:cs="游ゴシック" w:eastAsia="游ゴシック" w:hAnsi="游ゴシック"/>
                <w:b w:val="false"/>
                <w:bCs w:val="false"/>
                <w:sz w:val="21"/>
                <w:szCs w:val="21"/>
              </w:rPr>
              <w:t xml:space="preserve">人事のみ</w:t>
            </w:r>
          </w:p>
        </w:tc>
        <w:tc>
          <w:tcPr>
            <w:tcW w:type="dxa" w:w="7338"/>
            <w:tcBorders>
              <w:top w:val="single" w:color="B9CFC2" w:sz="6"/>
              <w:left w:val="single" w:color="B9CFC2" w:sz="6"/>
              <w:bottom w:val="single" w:color="B9CFC2" w:sz="6"/>
              <w:right w:val="single" w:color="B9CFC2" w:sz="6"/>
            </w:tcBorders>
            <w:tcMar>
              <w:top w:type="dxa" w:w="80"/>
              <w:left w:type="dxa" w:w="120"/>
              <w:bottom w:type="dxa" w:w="80"/>
              <w:right w:type="dxa" w:w="120"/>
            </w:tcMar>
          </w:tcPr>
          <w:p>
            <w:pPr>
              <w:spacing w:after="20" w:line="340"/>
            </w:pPr>
            <w:r>
              <w:rPr>
                <w:rFonts w:ascii="游ゴシック" w:cs="游ゴシック" w:eastAsia="游ゴシック" w:hAnsi="游ゴシック"/>
                <w:b w:val="false"/>
                <w:bCs w:val="false"/>
                <w:sz w:val="21"/>
                <w:szCs w:val="21"/>
              </w:rPr>
              <w:t xml:space="preserve">結果は人事部</w:t>
            </w:r>
            <w:r>
              <w:rPr>
                <w:rFonts w:ascii="游ゴシック" w:cs="游ゴシック" w:eastAsia="游ゴシック" w:hAnsi="游ゴシック"/>
                <w:b w:val="false"/>
                <w:bCs w:val="false"/>
                <w:sz w:val="21"/>
                <w:szCs w:val="21"/>
                <w:highlight w:val="yellow"/>
              </w:rPr>
              <w:t xml:space="preserve">【担当者名】</w:t>
            </w:r>
            <w:r>
              <w:rPr>
                <w:rFonts w:ascii="游ゴシック" w:cs="游ゴシック" w:eastAsia="游ゴシック" w:hAnsi="游ゴシック"/>
                <w:b w:val="false"/>
                <w:bCs w:val="false"/>
                <w:sz w:val="21"/>
                <w:szCs w:val="21"/>
              </w:rPr>
              <w:t xml:space="preserve">に届き、</w:t>
            </w:r>
            <w:r>
              <w:rPr>
                <w:rFonts w:ascii="游ゴシック" w:cs="游ゴシック" w:eastAsia="游ゴシック" w:hAnsi="游ゴシック"/>
                <w:b w:val="false"/>
                <w:bCs w:val="false"/>
                <w:sz w:val="21"/>
                <w:szCs w:val="21"/>
                <w:highlight w:val="yellow"/>
              </w:rPr>
              <w:t xml:space="preserve">【研修当日／○月○日まで】</w:t>
            </w:r>
            <w:r>
              <w:rPr>
                <w:rFonts w:ascii="游ゴシック" w:cs="游ゴシック" w:eastAsia="游ゴシック" w:hAnsi="游ゴシック"/>
                <w:b w:val="false"/>
                <w:bCs w:val="false"/>
                <w:sz w:val="21"/>
                <w:szCs w:val="21"/>
              </w:rPr>
              <w:t xml:space="preserve">に、人事部からご本人にお渡しします。人事部で結果を見るのは</w:t>
            </w:r>
            <w:r>
              <w:rPr>
                <w:rFonts w:ascii="游ゴシック" w:cs="游ゴシック" w:eastAsia="游ゴシック" w:hAnsi="游ゴシック"/>
                <w:b w:val="false"/>
                <w:bCs w:val="false"/>
                <w:sz w:val="21"/>
                <w:szCs w:val="21"/>
                <w:highlight w:val="yellow"/>
              </w:rPr>
              <w:t xml:space="preserve">【担当者の範囲】</w:t>
            </w:r>
            <w:r>
              <w:rPr>
                <w:rFonts w:ascii="游ゴシック" w:cs="游ゴシック" w:eastAsia="游ゴシック" w:hAnsi="游ゴシック"/>
                <w:b w:val="false"/>
                <w:bCs w:val="false"/>
                <w:sz w:val="21"/>
                <w:szCs w:val="21"/>
              </w:rPr>
              <w:t xml:space="preserve">に限り、ほかの方には共有しません。</w:t>
            </w:r>
          </w:p>
        </w:tc>
      </w:tr>
      <w:tr>
        <w:tc>
          <w:tcPr>
            <w:tcW w:type="dxa" w:w="2300"/>
            <w:tcBorders>
              <w:top w:val="single" w:color="B9CFC2" w:sz="6"/>
              <w:left w:val="single" w:color="B9CFC2" w:sz="6"/>
              <w:bottom w:val="single" w:color="B9CFC2" w:sz="6"/>
              <w:right w:val="single" w:color="B9CFC2" w:sz="6"/>
            </w:tcBorders>
            <w:tcMar>
              <w:top w:type="dxa" w:w="80"/>
              <w:left w:type="dxa" w:w="120"/>
              <w:bottom w:type="dxa" w:w="80"/>
              <w:right w:type="dxa" w:w="120"/>
            </w:tcMar>
          </w:tcPr>
          <w:p>
            <w:pPr>
              <w:spacing w:after="20" w:line="340"/>
            </w:pPr>
            <w:r>
              <w:rPr>
                <w:rFonts w:ascii="游ゴシック" w:cs="游ゴシック" w:eastAsia="游ゴシック" w:hAnsi="游ゴシック"/>
                <w:b w:val="false"/>
                <w:bCs w:val="false"/>
                <w:sz w:val="21"/>
                <w:szCs w:val="21"/>
              </w:rPr>
              <w:t xml:space="preserve">匿名の一覧も受け取る場合（追加）</w:t>
            </w:r>
          </w:p>
        </w:tc>
        <w:tc>
          <w:tcPr>
            <w:tcW w:type="dxa" w:w="7338"/>
            <w:tcBorders>
              <w:top w:val="single" w:color="B9CFC2" w:sz="6"/>
              <w:left w:val="single" w:color="B9CFC2" w:sz="6"/>
              <w:bottom w:val="single" w:color="B9CFC2" w:sz="6"/>
              <w:right w:val="single" w:color="B9CFC2" w:sz="6"/>
            </w:tcBorders>
            <w:tcMar>
              <w:top w:type="dxa" w:w="80"/>
              <w:left w:type="dxa" w:w="120"/>
              <w:bottom w:type="dxa" w:w="80"/>
              <w:right w:type="dxa" w:w="120"/>
            </w:tcMar>
          </w:tcPr>
          <w:p>
            <w:pPr>
              <w:spacing w:after="20" w:line="340"/>
            </w:pPr>
            <w:r>
              <w:rPr>
                <w:rFonts w:ascii="游ゴシック" w:cs="游ゴシック" w:eastAsia="游ゴシック" w:hAnsi="游ゴシック"/>
                <w:b w:val="false"/>
                <w:bCs w:val="false"/>
                <w:sz w:val="21"/>
                <w:szCs w:val="21"/>
              </w:rPr>
              <w:t xml:space="preserve">また、研修内容を検討するために、人事部は氏名を伏せた全体の一覧（Excel）を受け取ります。</w:t>
            </w:r>
          </w:p>
        </w:tc>
      </w:tr>
    </w:tbl>
    <w:p>
      <w:pPr>
        <w:spacing w:after="40" w:line="340"/>
      </w:pPr>
      <w:r>
        <w:rPr>
          <w:rFonts w:ascii="游ゴシック" w:cs="游ゴシック" w:eastAsia="游ゴシック" w:hAnsi="游ゴシック"/>
          <w:sz w:val="18"/>
          <w:szCs w:val="18"/>
        </w:rPr>
        <w:t xml:space="preserve">※匿名の一覧でも、受検者が少ない場合や、部署・役職などの情報と組み合わせると個人が推測できることがあります。少人数で実施する場合は、一覧を受け取らないか、扱う人をさらに限ってください。</w:t>
      </w:r>
    </w:p>
    <w:p>
      <w:pPr>
        <w:spacing w:after="80" w:line="340"/>
      </w:pPr>
      <w:r>
        <w:rPr>
          <w:rFonts w:ascii="游ゴシック" w:cs="游ゴシック" w:eastAsia="游ゴシック" w:hAnsi="游ゴシック"/>
          <w:sz w:val="18"/>
          <w:szCs w:val="18"/>
        </w:rPr>
        <w:t xml:space="preserve">※Webアプリ版で実施する場合、本人への直接送付はできません（結果は人事ご担当者が受け取ります）。</w:t>
      </w:r>
    </w:p>
    <w:p>
      <w:r>
        <w:br w:type="page"/>
      </w:r>
    </w:p>
    <w:p>
      <w:pPr>
        <w:pStyle w:val="Heading2"/>
        <w:spacing w:after="100" w:before="240"/>
      </w:pPr>
      <w:r>
        <w:rPr>
          <w:rFonts w:ascii="游ゴシック" w:cs="游ゴシック" w:eastAsia="游ゴシック" w:hAnsi="游ゴシック"/>
          <w:b/>
          <w:bCs/>
          <w:color w:val="1D7A56"/>
          <w:sz w:val="24"/>
          <w:szCs w:val="24"/>
        </w:rPr>
        <w:t xml:space="preserve">例文：受検のご案内（社内メール・通知文）</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B9CFC2" w:sz="6"/>
              <w:left w:val="single" w:color="1D7A56" w:sz="36"/>
              <w:bottom w:val="single" w:color="B9CFC2" w:sz="6"/>
              <w:right w:val="single" w:color="B9CFC2" w:sz="6"/>
            </w:tcBorders>
            <w:shd w:fill="F6FAF7" w:color="auto" w:val="clear"/>
            <w:tcMar>
              <w:top w:type="dxa" w:w="160"/>
              <w:left w:type="dxa" w:w="240"/>
              <w:bottom w:type="dxa" w:w="160"/>
              <w:right w:type="dxa" w:w="200"/>
            </w:tcMar>
          </w:tcPr>
          <w:p>
            <w:pPr>
              <w:spacing w:after="160" w:line="340"/>
            </w:pPr>
            <w:r>
              <w:rPr>
                <w:rFonts w:ascii="游ゴシック" w:cs="游ゴシック" w:eastAsia="游ゴシック" w:hAnsi="游ゴシック"/>
                <w:b/>
                <w:bCs/>
                <w:sz w:val="21"/>
                <w:szCs w:val="21"/>
              </w:rPr>
              <w:t xml:space="preserve">件名：</w:t>
            </w:r>
            <w:r>
              <w:rPr>
                <w:rFonts w:ascii="游ゴシック" w:cs="游ゴシック" w:eastAsia="游ゴシック" w:hAnsi="游ゴシック"/>
                <w:b/>
                <w:bCs/>
                <w:sz w:val="21"/>
                <w:szCs w:val="21"/>
                <w:highlight w:val="yellow"/>
              </w:rPr>
              <w:t xml:space="preserve">【○月○日】</w:t>
            </w:r>
            <w:r>
              <w:rPr>
                <w:rFonts w:ascii="游ゴシック" w:cs="游ゴシック" w:eastAsia="游ゴシック" w:hAnsi="游ゴシック"/>
                <w:b/>
                <w:bCs/>
                <w:sz w:val="21"/>
                <w:szCs w:val="21"/>
              </w:rPr>
              <w:t xml:space="preserve">ハラスメント研修の事前受検のお願い（〆切：</w:t>
            </w:r>
            <w:r>
              <w:rPr>
                <w:rFonts w:ascii="游ゴシック" w:cs="游ゴシック" w:eastAsia="游ゴシック" w:hAnsi="游ゴシック"/>
                <w:b/>
                <w:bCs/>
                <w:sz w:val="21"/>
                <w:szCs w:val="21"/>
                <w:highlight w:val="yellow"/>
              </w:rPr>
              <w:t xml:space="preserve">【○月○日（○）】</w:t>
            </w:r>
            <w:r>
              <w:rPr>
                <w:rFonts w:ascii="游ゴシック" w:cs="游ゴシック" w:eastAsia="游ゴシック" w:hAnsi="游ゴシック"/>
                <w:b/>
                <w:bCs/>
                <w:sz w:val="21"/>
                <w:szCs w:val="21"/>
              </w:rPr>
              <w:t xml:space="preserve">）</w:t>
            </w:r>
          </w:p>
          <w:p>
            <w:pPr>
              <w:spacing w:after="80" w:line="340"/>
            </w:pPr>
            <w:r>
              <w:rPr>
                <w:rFonts w:ascii="游ゴシック" w:cs="游ゴシック" w:eastAsia="游ゴシック" w:hAnsi="游ゴシック"/>
                <w:sz w:val="21"/>
                <w:szCs w:val="21"/>
                <w:highlight w:val="yellow"/>
              </w:rPr>
              <w:t xml:space="preserve">【対象者の皆さま】</w:t>
            </w:r>
          </w:p>
          <w:p>
            <w:pPr>
              <w:spacing w:after="160" w:line="340"/>
            </w:pPr>
            <w:r>
              <w:rPr>
                <w:rFonts w:ascii="游ゴシック" w:cs="游ゴシック" w:eastAsia="游ゴシック" w:hAnsi="游ゴシック"/>
                <w:sz w:val="21"/>
                <w:szCs w:val="21"/>
                <w:highlight w:val="yellow"/>
              </w:rPr>
              <w:t xml:space="preserve">【人事部　○○】</w:t>
            </w:r>
            <w:r>
              <w:rPr>
                <w:rFonts w:ascii="游ゴシック" w:cs="游ゴシック" w:eastAsia="游ゴシック" w:hAnsi="游ゴシック"/>
                <w:sz w:val="21"/>
                <w:szCs w:val="21"/>
              </w:rPr>
              <w:t xml:space="preserve">です。</w:t>
            </w:r>
          </w:p>
          <w:p>
            <w:pPr>
              <w:spacing w:after="160" w:line="340"/>
            </w:pPr>
            <w:r>
              <w:rPr>
                <w:rFonts w:ascii="游ゴシック" w:cs="游ゴシック" w:eastAsia="游ゴシック" w:hAnsi="游ゴシック"/>
                <w:sz w:val="21"/>
                <w:szCs w:val="21"/>
                <w:highlight w:val="yellow"/>
              </w:rPr>
              <w:t xml:space="preserve">【○月○日】</w:t>
            </w:r>
            <w:r>
              <w:rPr>
                <w:rFonts w:ascii="游ゴシック" w:cs="游ゴシック" w:eastAsia="游ゴシック" w:hAnsi="游ゴシック"/>
                <w:sz w:val="21"/>
                <w:szCs w:val="21"/>
              </w:rPr>
              <w:t xml:space="preserve">に実施する</w:t>
            </w:r>
            <w:r>
              <w:rPr>
                <w:rFonts w:ascii="游ゴシック" w:cs="游ゴシック" w:eastAsia="游ゴシック" w:hAnsi="游ゴシック"/>
                <w:sz w:val="21"/>
                <w:szCs w:val="21"/>
                <w:highlight w:val="yellow"/>
              </w:rPr>
              <w:t xml:space="preserve">【ハラスメント防止研修】</w:t>
            </w:r>
            <w:r>
              <w:rPr>
                <w:rFonts w:ascii="游ゴシック" w:cs="游ゴシック" w:eastAsia="游ゴシック" w:hAnsi="游ゴシック"/>
                <w:sz w:val="21"/>
                <w:szCs w:val="21"/>
              </w:rPr>
              <w:t xml:space="preserve">の準備として、事前に「ハラスメント傾向分析」（適性検査）の受検をお願いします。</w:t>
            </w:r>
          </w:p>
          <w:p>
            <w:pPr>
              <w:spacing w:after="40" w:line="340"/>
            </w:pPr>
            <w:r>
              <w:rPr>
                <w:rFonts w:ascii="游ゴシック" w:cs="游ゴシック" w:eastAsia="游ゴシック" w:hAnsi="游ゴシック"/>
                <w:b/>
                <w:bCs/>
                <w:sz w:val="21"/>
                <w:szCs w:val="21"/>
              </w:rPr>
              <w:t xml:space="preserve">■ 実施の目的</w:t>
            </w:r>
          </w:p>
          <w:p>
            <w:pPr>
              <w:spacing w:after="160" w:line="340"/>
            </w:pPr>
            <w:r>
              <w:rPr>
                <w:rFonts w:ascii="游ゴシック" w:cs="游ゴシック" w:eastAsia="游ゴシック" w:hAnsi="游ゴシック"/>
                <w:sz w:val="21"/>
                <w:szCs w:val="21"/>
              </w:rPr>
              <w:t xml:space="preserve">研修の前に、ご自身の性格的な傾向と、気を付けたい場面を知っていただくためです。研修で学ぶ内容を、「自分の振る舞いを振り返るきっかけ」にしていただくことがねらいです。</w:t>
            </w:r>
          </w:p>
          <w:p>
            <w:pPr>
              <w:spacing w:after="40" w:line="340"/>
            </w:pPr>
            <w:r>
              <w:rPr>
                <w:rFonts w:ascii="游ゴシック" w:cs="游ゴシック" w:eastAsia="游ゴシック" w:hAnsi="游ゴシック"/>
                <w:b/>
                <w:bCs/>
                <w:sz w:val="21"/>
                <w:szCs w:val="21"/>
              </w:rPr>
              <w:t xml:space="preserve">■ 受検の方法</w:t>
            </w:r>
          </w:p>
          <w:p>
            <w:pPr>
              <w:pStyle w:val="ListParagraph"/>
              <w:numPr>
                <w:ilvl w:val="0"/>
                <w:numId w:val="2"/>
              </w:numPr>
              <w:spacing w:after="40" w:line="320"/>
            </w:pPr>
            <w:r>
              <w:rPr>
                <w:rFonts w:ascii="游ゴシック" w:cs="游ゴシック" w:eastAsia="游ゴシック" w:hAnsi="游ゴシック"/>
                <w:sz w:val="21"/>
                <w:szCs w:val="21"/>
              </w:rPr>
              <w:t xml:space="preserve">受検URL：</w:t>
            </w:r>
            <w:r>
              <w:rPr>
                <w:rFonts w:ascii="游ゴシック" w:cs="游ゴシック" w:eastAsia="游ゴシック" w:hAnsi="游ゴシック"/>
                <w:sz w:val="21"/>
                <w:szCs w:val="21"/>
                <w:highlight w:val="yellow"/>
              </w:rPr>
              <w:t xml:space="preserve">【受検URL】</w:t>
            </w:r>
          </w:p>
          <w:p>
            <w:pPr>
              <w:pStyle w:val="ListParagraph"/>
              <w:numPr>
                <w:ilvl w:val="0"/>
                <w:numId w:val="2"/>
              </w:numPr>
              <w:spacing w:after="40" w:line="320"/>
            </w:pPr>
            <w:r>
              <w:rPr>
                <w:rFonts w:ascii="游ゴシック" w:cs="游ゴシック" w:eastAsia="游ゴシック" w:hAnsi="游ゴシック"/>
                <w:sz w:val="21"/>
                <w:szCs w:val="21"/>
              </w:rPr>
              <w:t xml:space="preserve">受検期限：</w:t>
            </w:r>
            <w:r>
              <w:rPr>
                <w:rFonts w:ascii="游ゴシック" w:cs="游ゴシック" w:eastAsia="游ゴシック" w:hAnsi="游ゴシック"/>
                <w:sz w:val="21"/>
                <w:szCs w:val="21"/>
                <w:highlight w:val="yellow"/>
              </w:rPr>
              <w:t xml:space="preserve">【○月○日（○）○時】</w:t>
            </w:r>
            <w:r>
              <w:rPr>
                <w:rFonts w:ascii="游ゴシック" w:cs="游ゴシック" w:eastAsia="游ゴシック" w:hAnsi="游ゴシック"/>
                <w:sz w:val="21"/>
                <w:szCs w:val="21"/>
              </w:rPr>
              <w:t xml:space="preserve">まで</w:t>
            </w:r>
          </w:p>
          <w:p>
            <w:pPr>
              <w:pStyle w:val="ListParagraph"/>
              <w:numPr>
                <w:ilvl w:val="0"/>
                <w:numId w:val="2"/>
              </w:numPr>
              <w:spacing w:after="40" w:line="320"/>
            </w:pPr>
            <w:r>
              <w:rPr>
                <w:rFonts w:ascii="游ゴシック" w:cs="游ゴシック" w:eastAsia="游ゴシック" w:hAnsi="游ゴシック"/>
                <w:sz w:val="21"/>
                <w:szCs w:val="21"/>
              </w:rPr>
              <w:t xml:space="preserve">設問数・所要時間：54問・5〜10分程度（パソコン・スマートフォンで受検できます）</w:t>
            </w:r>
          </w:p>
          <w:p>
            <w:pPr>
              <w:pStyle w:val="ListParagraph"/>
              <w:numPr>
                <w:ilvl w:val="0"/>
                <w:numId w:val="2"/>
              </w:numPr>
              <w:spacing w:after="40" w:line="320"/>
            </w:pPr>
            <w:r>
              <w:rPr>
                <w:rFonts w:ascii="游ゴシック" w:cs="游ゴシック" w:eastAsia="游ゴシック" w:hAnsi="游ゴシック"/>
                <w:sz w:val="21"/>
                <w:szCs w:val="21"/>
              </w:rPr>
              <w:t xml:space="preserve">正解・不正解はありません。深く考えすぎず、ふだんのご自身に近いものを選んでください。</w:t>
            </w:r>
          </w:p>
          <w:p>
            <w:pPr>
              <w:spacing w:after="100"/>
            </w:pPr>
          </w:p>
          <w:p>
            <w:pPr>
              <w:spacing w:after="40" w:line="340"/>
            </w:pPr>
            <w:r>
              <w:rPr>
                <w:rFonts w:ascii="游ゴシック" w:cs="游ゴシック" w:eastAsia="游ゴシック" w:hAnsi="游ゴシック"/>
                <w:b/>
                <w:bCs/>
                <w:sz w:val="21"/>
                <w:szCs w:val="21"/>
              </w:rPr>
              <w:t xml:space="preserve">■ 結果の届け先</w:t>
            </w:r>
          </w:p>
          <w:p>
            <w:pPr>
              <w:spacing w:after="40" w:line="340"/>
            </w:pPr>
            <w:r>
              <w:rPr>
                <w:rFonts w:ascii="游ゴシック" w:cs="游ゴシック" w:eastAsia="游ゴシック" w:hAnsi="游ゴシック"/>
                <w:sz w:val="21"/>
                <w:szCs w:val="21"/>
                <w:highlight w:val="yellow"/>
              </w:rPr>
              <w:t xml:space="preserve">【上の表から1つ選んで、ここに貼り付けてください】</w:t>
            </w:r>
          </w:p>
          <w:p>
            <w:pPr>
              <w:spacing w:after="160" w:line="340"/>
            </w:pPr>
            <w:r>
              <w:rPr>
                <w:rFonts w:ascii="游ゴシック" w:cs="游ゴシック" w:eastAsia="游ゴシック" w:hAnsi="游ゴシック"/>
                <w:sz w:val="21"/>
                <w:szCs w:val="21"/>
              </w:rPr>
              <w:t xml:space="preserve">ご本人あての結果のメールは、「ポテクト（カスタマーサポート）」から届きます。届かない場合は、迷惑メールフォルダもご確認ください。</w:t>
            </w:r>
          </w:p>
          <w:p>
            <w:pPr>
              <w:spacing w:after="40" w:line="340"/>
            </w:pPr>
            <w:r>
              <w:rPr>
                <w:rFonts w:ascii="游ゴシック" w:cs="游ゴシック" w:eastAsia="游ゴシック" w:hAnsi="游ゴシック"/>
                <w:b/>
                <w:bCs/>
                <w:sz w:val="21"/>
                <w:szCs w:val="21"/>
              </w:rPr>
              <w:t xml:space="preserve">■ 結果の使い方について</w:t>
            </w:r>
          </w:p>
          <w:p>
            <w:pPr>
              <w:pStyle w:val="ListParagraph"/>
              <w:numPr>
                <w:ilvl w:val="0"/>
                <w:numId w:val="2"/>
              </w:numPr>
              <w:spacing w:after="40" w:line="320"/>
            </w:pPr>
            <w:r>
              <w:rPr>
                <w:rFonts w:ascii="游ゴシック" w:cs="游ゴシック" w:eastAsia="游ゴシック" w:hAnsi="游ゴシック"/>
                <w:sz w:val="21"/>
                <w:szCs w:val="21"/>
              </w:rPr>
              <w:t xml:space="preserve">結果は、ご自身の傾向を振り返るための参考情報です。実際の言動や、ハラスメントの有無を判定するものではありません。</w:t>
            </w:r>
          </w:p>
          <w:p>
            <w:pPr>
              <w:pStyle w:val="ListParagraph"/>
              <w:numPr>
                <w:ilvl w:val="0"/>
                <w:numId w:val="2"/>
              </w:numPr>
              <w:spacing w:after="40" w:line="320"/>
            </w:pPr>
            <w:r>
              <w:rPr>
                <w:rFonts w:ascii="游ゴシック" w:cs="游ゴシック" w:eastAsia="游ゴシック" w:hAnsi="游ゴシック"/>
                <w:sz w:val="21"/>
                <w:szCs w:val="21"/>
              </w:rPr>
              <w:t xml:space="preserve">「傾向あり」と出ても、ハラスメントをする人という意味ではありません。反対に「傾向なし」でも、ストレスや環境によってハラスメントが起きることはあります。</w:t>
            </w:r>
          </w:p>
          <w:p>
            <w:pPr>
              <w:pStyle w:val="ListParagraph"/>
              <w:numPr>
                <w:ilvl w:val="0"/>
                <w:numId w:val="2"/>
              </w:numPr>
              <w:spacing w:after="40" w:line="320"/>
            </w:pPr>
            <w:r>
              <w:rPr>
                <w:rFonts w:ascii="游ゴシック" w:cs="游ゴシック" w:eastAsia="游ゴシック" w:hAnsi="游ゴシック"/>
                <w:sz w:val="21"/>
                <w:szCs w:val="21"/>
              </w:rPr>
              <w:t xml:space="preserve">「被害者型」は、ハラスメントを受けやすい傾向を示すもので、被害の責任がご本人にあるという意味ではありません。</w:t>
            </w:r>
          </w:p>
          <w:p>
            <w:pPr>
              <w:pStyle w:val="ListParagraph"/>
              <w:numPr>
                <w:ilvl w:val="0"/>
                <w:numId w:val="2"/>
              </w:numPr>
              <w:spacing w:after="40" w:line="320"/>
            </w:pPr>
            <w:r>
              <w:rPr>
                <w:rFonts w:ascii="游ゴシック" w:cs="游ゴシック" w:eastAsia="游ゴシック" w:hAnsi="游ゴシック"/>
                <w:sz w:val="21"/>
                <w:szCs w:val="21"/>
              </w:rPr>
              <w:t xml:space="preserve">結果は、人事評価・昇進・配置の判断には使いません。</w:t>
            </w:r>
          </w:p>
          <w:p>
            <w:pPr>
              <w:pStyle w:val="ListParagraph"/>
              <w:numPr>
                <w:ilvl w:val="0"/>
                <w:numId w:val="2"/>
              </w:numPr>
              <w:spacing w:after="40" w:line="320"/>
            </w:pPr>
            <w:r>
              <w:rPr>
                <w:rFonts w:ascii="游ゴシック" w:cs="游ゴシック" w:eastAsia="游ゴシック" w:hAnsi="游ゴシック"/>
                <w:sz w:val="21"/>
                <w:szCs w:val="21"/>
              </w:rPr>
              <w:t xml:space="preserve">研修当日に、結果をほかの方に見せていただく必要はありません。</w:t>
            </w:r>
          </w:p>
          <w:p>
            <w:pPr>
              <w:spacing w:after="100"/>
            </w:pPr>
          </w:p>
          <w:p>
            <w:pPr>
              <w:spacing w:after="40" w:line="340"/>
            </w:pPr>
            <w:r>
              <w:rPr>
                <w:rFonts w:ascii="游ゴシック" w:cs="游ゴシック" w:eastAsia="游ゴシック" w:hAnsi="游ゴシック"/>
                <w:b/>
                <w:bCs/>
                <w:sz w:val="21"/>
                <w:szCs w:val="21"/>
              </w:rPr>
              <w:t xml:space="preserve">■ 個人情報の取り扱い</w:t>
            </w:r>
          </w:p>
          <w:p>
            <w:pPr>
              <w:spacing w:after="160" w:line="340"/>
            </w:pPr>
            <w:r>
              <w:rPr>
                <w:rFonts w:ascii="游ゴシック" w:cs="游ゴシック" w:eastAsia="游ゴシック" w:hAnsi="游ゴシック"/>
                <w:sz w:val="21"/>
                <w:szCs w:val="21"/>
              </w:rPr>
              <w:t xml:space="preserve">受検は、適性検査ポテクト（株式会社シャイン）に委託して実施します。結果は</w:t>
            </w:r>
            <w:r>
              <w:rPr>
                <w:rFonts w:ascii="游ゴシック" w:cs="游ゴシック" w:eastAsia="游ゴシック" w:hAnsi="游ゴシック"/>
                <w:sz w:val="21"/>
                <w:szCs w:val="21"/>
                <w:highlight w:val="yellow"/>
              </w:rPr>
              <w:t xml:space="preserve">【社内の個人情報取扱規程】</w:t>
            </w:r>
            <w:r>
              <w:rPr>
                <w:rFonts w:ascii="游ゴシック" w:cs="游ゴシック" w:eastAsia="游ゴシック" w:hAnsi="游ゴシック"/>
                <w:sz w:val="21"/>
                <w:szCs w:val="21"/>
              </w:rPr>
              <w:t xml:space="preserve">に沿って取り扱い、上記の目的以外には使用しません。</w:t>
            </w:r>
          </w:p>
          <w:p>
            <w:pPr>
              <w:spacing w:after="40" w:line="340"/>
            </w:pPr>
            <w:r>
              <w:rPr>
                <w:rFonts w:ascii="游ゴシック" w:cs="游ゴシック" w:eastAsia="游ゴシック" w:hAnsi="游ゴシック"/>
                <w:b/>
                <w:bCs/>
                <w:sz w:val="21"/>
                <w:szCs w:val="21"/>
              </w:rPr>
              <w:t xml:space="preserve">■ お問い合わせ</w:t>
            </w:r>
          </w:p>
          <w:p>
            <w:pPr>
              <w:spacing w:after="40" w:line="340"/>
            </w:pPr>
            <w:r>
              <w:rPr>
                <w:rFonts w:ascii="游ゴシック" w:cs="游ゴシック" w:eastAsia="游ゴシック" w:hAnsi="游ゴシック"/>
                <w:sz w:val="21"/>
                <w:szCs w:val="21"/>
              </w:rPr>
              <w:t xml:space="preserve">ご不明な点は、</w:t>
            </w:r>
            <w:r>
              <w:rPr>
                <w:rFonts w:ascii="游ゴシック" w:cs="游ゴシック" w:eastAsia="游ゴシック" w:hAnsi="游ゴシック"/>
                <w:sz w:val="21"/>
                <w:szCs w:val="21"/>
                <w:highlight w:val="yellow"/>
              </w:rPr>
              <w:t xml:space="preserve">【人事部　○○（内線○○／メールアドレス）】</w:t>
            </w:r>
            <w:r>
              <w:rPr>
                <w:rFonts w:ascii="游ゴシック" w:cs="游ゴシック" w:eastAsia="游ゴシック" w:hAnsi="游ゴシック"/>
                <w:sz w:val="21"/>
                <w:szCs w:val="21"/>
              </w:rPr>
              <w:t xml:space="preserve">までお問い合わせください。</w:t>
            </w:r>
          </w:p>
        </w:tc>
      </w:tr>
    </w:tbl>
    <w:p>
      <w:r>
        <w:br w:type="page"/>
      </w:r>
    </w:p>
    <w:p>
      <w:pPr>
        <w:pStyle w:val="Heading2"/>
        <w:spacing w:after="100" w:before="240"/>
      </w:pPr>
      <w:r>
        <w:rPr>
          <w:rFonts w:ascii="游ゴシック" w:cs="游ゴシック" w:eastAsia="游ゴシック" w:hAnsi="游ゴシック"/>
          <w:b/>
          <w:bCs/>
          <w:color w:val="1D7A56"/>
          <w:sz w:val="24"/>
          <w:szCs w:val="24"/>
        </w:rPr>
        <w:t xml:space="preserve">添付用：受講者からよくある質問（必要に応じて案内に添えてください）</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c>
          <w:tcPr>
            <w:tcW w:type="dxa" w:w="3000"/>
            <w:tcBorders>
              <w:top w:val="single" w:color="B9CFC2" w:sz="6"/>
              <w:left w:val="single" w:color="B9CFC2" w:sz="6"/>
              <w:bottom w:val="single" w:color="B9CFC2" w:sz="6"/>
              <w:right w:val="single" w:color="B9CFC2" w:sz="6"/>
            </w:tcBorders>
            <w:shd w:fill="E3F1E8" w:color="auto" w:val="clear"/>
            <w:tcMar>
              <w:top w:type="dxa" w:w="80"/>
              <w:left w:type="dxa" w:w="120"/>
              <w:bottom w:type="dxa" w:w="80"/>
              <w:right w:type="dxa" w:w="120"/>
            </w:tcMar>
          </w:tcPr>
          <w:p>
            <w:pPr>
              <w:spacing w:after="20" w:line="340"/>
            </w:pPr>
            <w:r>
              <w:rPr>
                <w:rFonts w:ascii="游ゴシック" w:cs="游ゴシック" w:eastAsia="游ゴシック" w:hAnsi="游ゴシック"/>
                <w:b/>
                <w:bCs/>
                <w:sz w:val="21"/>
                <w:szCs w:val="21"/>
              </w:rPr>
              <w:t xml:space="preserve">質問</w:t>
            </w:r>
          </w:p>
        </w:tc>
        <w:tc>
          <w:tcPr>
            <w:tcW w:type="dxa" w:w="6638"/>
            <w:tcBorders>
              <w:top w:val="single" w:color="B9CFC2" w:sz="6"/>
              <w:left w:val="single" w:color="B9CFC2" w:sz="6"/>
              <w:bottom w:val="single" w:color="B9CFC2" w:sz="6"/>
              <w:right w:val="single" w:color="B9CFC2" w:sz="6"/>
            </w:tcBorders>
            <w:shd w:fill="E3F1E8" w:color="auto" w:val="clear"/>
            <w:tcMar>
              <w:top w:type="dxa" w:w="80"/>
              <w:left w:type="dxa" w:w="120"/>
              <w:bottom w:type="dxa" w:w="80"/>
              <w:right w:type="dxa" w:w="120"/>
            </w:tcMar>
          </w:tcPr>
          <w:p>
            <w:pPr>
              <w:spacing w:after="20" w:line="340"/>
            </w:pPr>
            <w:r>
              <w:rPr>
                <w:rFonts w:ascii="游ゴシック" w:cs="游ゴシック" w:eastAsia="游ゴシック" w:hAnsi="游ゴシック"/>
                <w:b/>
                <w:bCs/>
                <w:sz w:val="21"/>
                <w:szCs w:val="21"/>
              </w:rPr>
              <w:t xml:space="preserve">回答の例</w:t>
            </w:r>
          </w:p>
        </w:tc>
      </w:tr>
      <w:tr>
        <w:tc>
          <w:tcPr>
            <w:tcW w:type="dxa" w:w="3000"/>
            <w:tcBorders>
              <w:top w:val="single" w:color="B9CFC2" w:sz="6"/>
              <w:left w:val="single" w:color="B9CFC2" w:sz="6"/>
              <w:bottom w:val="single" w:color="B9CFC2" w:sz="6"/>
              <w:right w:val="single" w:color="B9CFC2" w:sz="6"/>
            </w:tcBorders>
            <w:tcMar>
              <w:top w:type="dxa" w:w="80"/>
              <w:left w:type="dxa" w:w="120"/>
              <w:bottom w:type="dxa" w:w="80"/>
              <w:right w:type="dxa" w:w="120"/>
            </w:tcMar>
          </w:tcPr>
          <w:p>
            <w:pPr>
              <w:spacing w:after="20" w:line="340"/>
            </w:pPr>
            <w:r>
              <w:rPr>
                <w:rFonts w:ascii="游ゴシック" w:cs="游ゴシック" w:eastAsia="游ゴシック" w:hAnsi="游ゴシック"/>
                <w:b w:val="false"/>
                <w:bCs w:val="false"/>
                <w:sz w:val="21"/>
                <w:szCs w:val="21"/>
              </w:rPr>
              <w:t xml:space="preserve">何が分かるのですか？</w:t>
            </w:r>
          </w:p>
        </w:tc>
        <w:tc>
          <w:tcPr>
            <w:tcW w:type="dxa" w:w="6638"/>
            <w:tcBorders>
              <w:top w:val="single" w:color="B9CFC2" w:sz="6"/>
              <w:left w:val="single" w:color="B9CFC2" w:sz="6"/>
              <w:bottom w:val="single" w:color="B9CFC2" w:sz="6"/>
              <w:right w:val="single" w:color="B9CFC2" w:sz="6"/>
            </w:tcBorders>
            <w:tcMar>
              <w:top w:type="dxa" w:w="80"/>
              <w:left w:type="dxa" w:w="120"/>
              <w:bottom w:type="dxa" w:w="80"/>
              <w:right w:type="dxa" w:w="120"/>
            </w:tcMar>
          </w:tcPr>
          <w:p>
            <w:pPr>
              <w:spacing w:after="20" w:line="340"/>
            </w:pPr>
            <w:r>
              <w:rPr>
                <w:rFonts w:ascii="游ゴシック" w:cs="游ゴシック" w:eastAsia="游ゴシック" w:hAnsi="游ゴシック"/>
                <w:b w:val="false"/>
                <w:bCs w:val="false"/>
                <w:sz w:val="21"/>
                <w:szCs w:val="21"/>
              </w:rPr>
              <w:t xml:space="preserve">ハラスメントにつながりやすい5つの性格的要因（冷淡性・無責任性・自己愛性・支配性・偽装性）の度合いと、当てはまるハラスメントタイプがあるかどうかが分かります。気を付けたい場面や、向き合い方のアドバイスも届きます（アドバイスプランの場合）。</w:t>
            </w:r>
          </w:p>
        </w:tc>
      </w:tr>
      <w:tr>
        <w:tc>
          <w:tcPr>
            <w:tcW w:type="dxa" w:w="3000"/>
            <w:tcBorders>
              <w:top w:val="single" w:color="B9CFC2" w:sz="6"/>
              <w:left w:val="single" w:color="B9CFC2" w:sz="6"/>
              <w:bottom w:val="single" w:color="B9CFC2" w:sz="6"/>
              <w:right w:val="single" w:color="B9CFC2" w:sz="6"/>
            </w:tcBorders>
            <w:tcMar>
              <w:top w:type="dxa" w:w="80"/>
              <w:left w:type="dxa" w:w="120"/>
              <w:bottom w:type="dxa" w:w="80"/>
              <w:right w:type="dxa" w:w="120"/>
            </w:tcMar>
          </w:tcPr>
          <w:p>
            <w:pPr>
              <w:spacing w:after="20" w:line="340"/>
            </w:pPr>
            <w:r>
              <w:rPr>
                <w:rFonts w:ascii="游ゴシック" w:cs="游ゴシック" w:eastAsia="游ゴシック" w:hAnsi="游ゴシック"/>
                <w:b w:val="false"/>
                <w:bCs w:val="false"/>
                <w:sz w:val="21"/>
                <w:szCs w:val="21"/>
              </w:rPr>
              <w:t xml:space="preserve">「傾向あり」と出たら、問題社員だと思われますか？</w:t>
            </w:r>
          </w:p>
        </w:tc>
        <w:tc>
          <w:tcPr>
            <w:tcW w:type="dxa" w:w="6638"/>
            <w:tcBorders>
              <w:top w:val="single" w:color="B9CFC2" w:sz="6"/>
              <w:left w:val="single" w:color="B9CFC2" w:sz="6"/>
              <w:bottom w:val="single" w:color="B9CFC2" w:sz="6"/>
              <w:right w:val="single" w:color="B9CFC2" w:sz="6"/>
            </w:tcBorders>
            <w:tcMar>
              <w:top w:type="dxa" w:w="80"/>
              <w:left w:type="dxa" w:w="120"/>
              <w:bottom w:type="dxa" w:w="80"/>
              <w:right w:type="dxa" w:w="120"/>
            </w:tcMar>
          </w:tcPr>
          <w:p>
            <w:pPr>
              <w:spacing w:after="20" w:line="340"/>
            </w:pPr>
            <w:r>
              <w:rPr>
                <w:rFonts w:ascii="游ゴシック" w:cs="游ゴシック" w:eastAsia="游ゴシック" w:hAnsi="游ゴシック"/>
                <w:b w:val="false"/>
                <w:bCs w:val="false"/>
                <w:sz w:val="21"/>
                <w:szCs w:val="21"/>
              </w:rPr>
              <w:t xml:space="preserve">いいえ。結果は性格的な傾向を振り返るための参考情報で、実際の言動を判定するものではありません。結果だけで人を判断することはしません。</w:t>
            </w:r>
          </w:p>
        </w:tc>
      </w:tr>
      <w:tr>
        <w:tc>
          <w:tcPr>
            <w:tcW w:type="dxa" w:w="3000"/>
            <w:tcBorders>
              <w:top w:val="single" w:color="B9CFC2" w:sz="6"/>
              <w:left w:val="single" w:color="B9CFC2" w:sz="6"/>
              <w:bottom w:val="single" w:color="B9CFC2" w:sz="6"/>
              <w:right w:val="single" w:color="B9CFC2" w:sz="6"/>
            </w:tcBorders>
            <w:tcMar>
              <w:top w:type="dxa" w:w="80"/>
              <w:left w:type="dxa" w:w="120"/>
              <w:bottom w:type="dxa" w:w="80"/>
              <w:right w:type="dxa" w:w="120"/>
            </w:tcMar>
          </w:tcPr>
          <w:p>
            <w:pPr>
              <w:spacing w:after="20" w:line="340"/>
            </w:pPr>
            <w:r>
              <w:rPr>
                <w:rFonts w:ascii="游ゴシック" w:cs="游ゴシック" w:eastAsia="游ゴシック" w:hAnsi="游ゴシック"/>
                <w:b w:val="false"/>
                <w:bCs w:val="false"/>
                <w:sz w:val="21"/>
                <w:szCs w:val="21"/>
              </w:rPr>
              <w:t xml:space="preserve">結果は上司に見られますか？</w:t>
            </w:r>
          </w:p>
        </w:tc>
        <w:tc>
          <w:tcPr>
            <w:tcW w:type="dxa" w:w="6638"/>
            <w:tcBorders>
              <w:top w:val="single" w:color="B9CFC2" w:sz="6"/>
              <w:left w:val="single" w:color="B9CFC2" w:sz="6"/>
              <w:bottom w:val="single" w:color="B9CFC2" w:sz="6"/>
              <w:right w:val="single" w:color="B9CFC2" w:sz="6"/>
            </w:tcBorders>
            <w:tcMar>
              <w:top w:type="dxa" w:w="80"/>
              <w:left w:type="dxa" w:w="120"/>
              <w:bottom w:type="dxa" w:w="80"/>
              <w:right w:type="dxa" w:w="120"/>
            </w:tcMar>
          </w:tcPr>
          <w:p>
            <w:pPr>
              <w:spacing w:after="20" w:line="340"/>
            </w:pPr>
            <w:r>
              <w:rPr>
                <w:rFonts w:ascii="游ゴシック" w:cs="游ゴシック" w:eastAsia="游ゴシック" w:hAnsi="游ゴシック"/>
                <w:b w:val="false"/>
                <w:bCs w:val="false"/>
                <w:sz w:val="21"/>
                <w:szCs w:val="21"/>
                <w:highlight w:val="yellow"/>
              </w:rPr>
              <w:t xml:space="preserve">【届け先に合わせて書き換え】</w:t>
            </w:r>
            <w:r>
              <w:rPr>
                <w:rFonts w:ascii="游ゴシック" w:cs="游ゴシック" w:eastAsia="游ゴシック" w:hAnsi="游ゴシック"/>
                <w:b w:val="false"/>
                <w:bCs w:val="false"/>
                <w:sz w:val="21"/>
                <w:szCs w:val="21"/>
              </w:rPr>
              <w:t xml:space="preserve">例：結果はご本人にだけ届き、上司や人事部には届きません。</w:t>
            </w:r>
          </w:p>
        </w:tc>
      </w:tr>
      <w:tr>
        <w:tc>
          <w:tcPr>
            <w:tcW w:type="dxa" w:w="3000"/>
            <w:tcBorders>
              <w:top w:val="single" w:color="B9CFC2" w:sz="6"/>
              <w:left w:val="single" w:color="B9CFC2" w:sz="6"/>
              <w:bottom w:val="single" w:color="B9CFC2" w:sz="6"/>
              <w:right w:val="single" w:color="B9CFC2" w:sz="6"/>
            </w:tcBorders>
            <w:tcMar>
              <w:top w:type="dxa" w:w="80"/>
              <w:left w:type="dxa" w:w="120"/>
              <w:bottom w:type="dxa" w:w="80"/>
              <w:right w:type="dxa" w:w="120"/>
            </w:tcMar>
          </w:tcPr>
          <w:p>
            <w:pPr>
              <w:spacing w:after="20" w:line="340"/>
            </w:pPr>
            <w:r>
              <w:rPr>
                <w:rFonts w:ascii="游ゴシック" w:cs="游ゴシック" w:eastAsia="游ゴシック" w:hAnsi="游ゴシック"/>
                <w:b w:val="false"/>
                <w:bCs w:val="false"/>
                <w:sz w:val="21"/>
                <w:szCs w:val="21"/>
              </w:rPr>
              <w:t xml:space="preserve">人事評価に影響しますか？</w:t>
            </w:r>
          </w:p>
        </w:tc>
        <w:tc>
          <w:tcPr>
            <w:tcW w:type="dxa" w:w="6638"/>
            <w:tcBorders>
              <w:top w:val="single" w:color="B9CFC2" w:sz="6"/>
              <w:left w:val="single" w:color="B9CFC2" w:sz="6"/>
              <w:bottom w:val="single" w:color="B9CFC2" w:sz="6"/>
              <w:right w:val="single" w:color="B9CFC2" w:sz="6"/>
            </w:tcBorders>
            <w:tcMar>
              <w:top w:type="dxa" w:w="80"/>
              <w:left w:type="dxa" w:w="120"/>
              <w:bottom w:type="dxa" w:w="80"/>
              <w:right w:type="dxa" w:w="120"/>
            </w:tcMar>
          </w:tcPr>
          <w:p>
            <w:pPr>
              <w:spacing w:after="20" w:line="340"/>
            </w:pPr>
            <w:r>
              <w:rPr>
                <w:rFonts w:ascii="游ゴシック" w:cs="游ゴシック" w:eastAsia="游ゴシック" w:hAnsi="游ゴシック"/>
                <w:b w:val="false"/>
                <w:bCs w:val="false"/>
                <w:sz w:val="21"/>
                <w:szCs w:val="21"/>
                <w:highlight w:val="yellow"/>
              </w:rPr>
              <w:t xml:space="preserve">【実際の運用に合わせて書き換え】</w:t>
            </w:r>
            <w:r>
              <w:rPr>
                <w:rFonts w:ascii="游ゴシック" w:cs="游ゴシック" w:eastAsia="游ゴシック" w:hAnsi="游ゴシック"/>
                <w:b w:val="false"/>
                <w:bCs w:val="false"/>
                <w:sz w:val="21"/>
                <w:szCs w:val="21"/>
              </w:rPr>
              <w:t xml:space="preserve">例：人事評価・昇進・配置の判断には使いません。</w:t>
            </w:r>
          </w:p>
        </w:tc>
      </w:tr>
      <w:tr>
        <w:tc>
          <w:tcPr>
            <w:tcW w:type="dxa" w:w="3000"/>
            <w:tcBorders>
              <w:top w:val="single" w:color="B9CFC2" w:sz="6"/>
              <w:left w:val="single" w:color="B9CFC2" w:sz="6"/>
              <w:bottom w:val="single" w:color="B9CFC2" w:sz="6"/>
              <w:right w:val="single" w:color="B9CFC2" w:sz="6"/>
            </w:tcBorders>
            <w:tcMar>
              <w:top w:type="dxa" w:w="80"/>
              <w:left w:type="dxa" w:w="120"/>
              <w:bottom w:type="dxa" w:w="80"/>
              <w:right w:type="dxa" w:w="120"/>
            </w:tcMar>
          </w:tcPr>
          <w:p>
            <w:pPr>
              <w:spacing w:after="20" w:line="340"/>
            </w:pPr>
            <w:r>
              <w:rPr>
                <w:rFonts w:ascii="游ゴシック" w:cs="游ゴシック" w:eastAsia="游ゴシック" w:hAnsi="游ゴシック"/>
                <w:b w:val="false"/>
                <w:bCs w:val="false"/>
                <w:sz w:val="21"/>
                <w:szCs w:val="21"/>
              </w:rPr>
              <w:t xml:space="preserve">正直に答えないとどうなりますか？</w:t>
            </w:r>
          </w:p>
        </w:tc>
        <w:tc>
          <w:tcPr>
            <w:tcW w:type="dxa" w:w="6638"/>
            <w:tcBorders>
              <w:top w:val="single" w:color="B9CFC2" w:sz="6"/>
              <w:left w:val="single" w:color="B9CFC2" w:sz="6"/>
              <w:bottom w:val="single" w:color="B9CFC2" w:sz="6"/>
              <w:right w:val="single" w:color="B9CFC2" w:sz="6"/>
            </w:tcBorders>
            <w:tcMar>
              <w:top w:type="dxa" w:w="80"/>
              <w:left w:type="dxa" w:w="120"/>
              <w:bottom w:type="dxa" w:w="80"/>
              <w:right w:type="dxa" w:w="120"/>
            </w:tcMar>
          </w:tcPr>
          <w:p>
            <w:pPr>
              <w:spacing w:after="20" w:line="340"/>
            </w:pPr>
            <w:r>
              <w:rPr>
                <w:rFonts w:ascii="游ゴシック" w:cs="游ゴシック" w:eastAsia="游ゴシック" w:hAnsi="游ゴシック"/>
                <w:b w:val="false"/>
                <w:bCs w:val="false"/>
                <w:sz w:val="21"/>
                <w:szCs w:val="21"/>
              </w:rPr>
              <w:t xml:space="preserve">自分をよく見せようとすると、振り返りに役立つ結果になりにくくなります。正解はありませんので、ふだんのご自身に近いものを選んでください。</w:t>
            </w:r>
          </w:p>
        </w:tc>
      </w:tr>
      <w:tr>
        <w:tc>
          <w:tcPr>
            <w:tcW w:type="dxa" w:w="3000"/>
            <w:tcBorders>
              <w:top w:val="single" w:color="B9CFC2" w:sz="6"/>
              <w:left w:val="single" w:color="B9CFC2" w:sz="6"/>
              <w:bottom w:val="single" w:color="B9CFC2" w:sz="6"/>
              <w:right w:val="single" w:color="B9CFC2" w:sz="6"/>
            </w:tcBorders>
            <w:tcMar>
              <w:top w:type="dxa" w:w="80"/>
              <w:left w:type="dxa" w:w="120"/>
              <w:bottom w:type="dxa" w:w="80"/>
              <w:right w:type="dxa" w:w="120"/>
            </w:tcMar>
          </w:tcPr>
          <w:p>
            <w:pPr>
              <w:spacing w:after="20" w:line="340"/>
            </w:pPr>
            <w:r>
              <w:rPr>
                <w:rFonts w:ascii="游ゴシック" w:cs="游ゴシック" w:eastAsia="游ゴシック" w:hAnsi="游ゴシック"/>
                <w:b w:val="false"/>
                <w:bCs w:val="false"/>
                <w:sz w:val="21"/>
                <w:szCs w:val="21"/>
              </w:rPr>
              <w:t xml:space="preserve">受検しないことはできますか？</w:t>
            </w:r>
          </w:p>
        </w:tc>
        <w:tc>
          <w:tcPr>
            <w:tcW w:type="dxa" w:w="6638"/>
            <w:tcBorders>
              <w:top w:val="single" w:color="B9CFC2" w:sz="6"/>
              <w:left w:val="single" w:color="B9CFC2" w:sz="6"/>
              <w:bottom w:val="single" w:color="B9CFC2" w:sz="6"/>
              <w:right w:val="single" w:color="B9CFC2" w:sz="6"/>
            </w:tcBorders>
            <w:tcMar>
              <w:top w:type="dxa" w:w="80"/>
              <w:left w:type="dxa" w:w="120"/>
              <w:bottom w:type="dxa" w:w="80"/>
              <w:right w:type="dxa" w:w="120"/>
            </w:tcMar>
          </w:tcPr>
          <w:p>
            <w:pPr>
              <w:spacing w:after="20" w:line="340"/>
            </w:pPr>
            <w:r>
              <w:rPr>
                <w:rFonts w:ascii="游ゴシック" w:cs="游ゴシック" w:eastAsia="游ゴシック" w:hAnsi="游ゴシック"/>
                <w:b w:val="false"/>
                <w:bCs w:val="false"/>
                <w:sz w:val="21"/>
                <w:szCs w:val="21"/>
                <w:highlight w:val="yellow"/>
              </w:rPr>
              <w:t xml:space="preserve">【貴社の方針に合わせて書き換え】</w:t>
            </w:r>
          </w:p>
        </w:tc>
      </w:tr>
      <w:tr>
        <w:tc>
          <w:tcPr>
            <w:tcW w:type="dxa" w:w="3000"/>
            <w:tcBorders>
              <w:top w:val="single" w:color="B9CFC2" w:sz="6"/>
              <w:left w:val="single" w:color="B9CFC2" w:sz="6"/>
              <w:bottom w:val="single" w:color="B9CFC2" w:sz="6"/>
              <w:right w:val="single" w:color="B9CFC2" w:sz="6"/>
            </w:tcBorders>
            <w:tcMar>
              <w:top w:type="dxa" w:w="80"/>
              <w:left w:type="dxa" w:w="120"/>
              <w:bottom w:type="dxa" w:w="80"/>
              <w:right w:type="dxa" w:w="120"/>
            </w:tcMar>
          </w:tcPr>
          <w:p>
            <w:pPr>
              <w:spacing w:after="20" w:line="340"/>
            </w:pPr>
            <w:r>
              <w:rPr>
                <w:rFonts w:ascii="游ゴシック" w:cs="游ゴシック" w:eastAsia="游ゴシック" w:hAnsi="游ゴシック"/>
                <w:b w:val="false"/>
                <w:bCs w:val="false"/>
                <w:sz w:val="21"/>
                <w:szCs w:val="21"/>
              </w:rPr>
              <w:t xml:space="preserve">結果のデータはどう管理されますか？</w:t>
            </w:r>
          </w:p>
        </w:tc>
        <w:tc>
          <w:tcPr>
            <w:tcW w:type="dxa" w:w="6638"/>
            <w:tcBorders>
              <w:top w:val="single" w:color="B9CFC2" w:sz="6"/>
              <w:left w:val="single" w:color="B9CFC2" w:sz="6"/>
              <w:bottom w:val="single" w:color="B9CFC2" w:sz="6"/>
              <w:right w:val="single" w:color="B9CFC2" w:sz="6"/>
            </w:tcBorders>
            <w:tcMar>
              <w:top w:type="dxa" w:w="80"/>
              <w:left w:type="dxa" w:w="120"/>
              <w:bottom w:type="dxa" w:w="80"/>
              <w:right w:type="dxa" w:w="120"/>
            </w:tcMar>
          </w:tcPr>
          <w:p>
            <w:pPr>
              <w:spacing w:after="20" w:line="340"/>
            </w:pPr>
            <w:r>
              <w:rPr>
                <w:rFonts w:ascii="游ゴシック" w:cs="游ゴシック" w:eastAsia="游ゴシック" w:hAnsi="游ゴシック"/>
                <w:b w:val="false"/>
                <w:bCs w:val="false"/>
                <w:sz w:val="21"/>
                <w:szCs w:val="21"/>
              </w:rPr>
              <w:t xml:space="preserve">提供会社では（Webフォーム版・マークシート版の場合）、結果をお送りした後、手元の結果ファイルをすぐに削除します。回答データは、結果の再発行に備えて一定期間保管されます。社内では</w:t>
            </w:r>
            <w:r>
              <w:rPr>
                <w:rFonts w:ascii="游ゴシック" w:cs="游ゴシック" w:eastAsia="游ゴシック" w:hAnsi="游ゴシック"/>
                <w:b w:val="false"/>
                <w:bCs w:val="false"/>
                <w:sz w:val="21"/>
                <w:szCs w:val="21"/>
                <w:highlight w:val="yellow"/>
              </w:rPr>
              <w:t xml:space="preserve">【社内規程】</w:t>
            </w:r>
            <w:r>
              <w:rPr>
                <w:rFonts w:ascii="游ゴシック" w:cs="游ゴシック" w:eastAsia="游ゴシック" w:hAnsi="游ゴシック"/>
                <w:b w:val="false"/>
                <w:bCs w:val="false"/>
                <w:sz w:val="21"/>
                <w:szCs w:val="21"/>
              </w:rPr>
              <w:t xml:space="preserve">に沿って管理します。</w:t>
            </w:r>
          </w:p>
        </w:tc>
      </w:tr>
    </w:tbl>
    <w:p>
      <w:pPr>
        <w:spacing w:after="60"/>
      </w:pPr>
    </w:p>
    <w:p>
      <w:pPr>
        <w:spacing w:after="80" w:line="340"/>
      </w:pPr>
      <w:r>
        <w:rPr>
          <w:rFonts w:ascii="游ゴシック" w:cs="游ゴシック" w:eastAsia="游ゴシック" w:hAnsi="游ゴシック"/>
          <w:color w:val="555555"/>
          <w:sz w:val="18"/>
          <w:szCs w:val="18"/>
        </w:rPr>
        <w:t xml:space="preserve">このテンプレートについてのお問い合わせ：株式会社シャイン　ポテクト事業部　0564-73-5701（平日9:00〜17:00）　https://potect-a.com/harassment/</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游ゴシック" w:cs="游ゴシック" w:eastAsia="游ゴシック" w:hAnsi="游ゴシック"/>
        <w:color w:val="888888"/>
        <w:sz w:val="16"/>
        <w:szCs w:val="16"/>
      </w:rPr>
      <w:t xml:space="preserve">適性検査ポテクト「ハラスメント傾向分析」受検のご案内文テンプレート　</w:t>
    </w:r>
    <w:r>
      <w:rPr>
        <w:rFonts w:ascii="游ゴシック" w:cs="游ゴシック" w:eastAsia="游ゴシック" w:hAnsi="游ゴシック"/>
        <w:color w:val="88888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游ゴシック" w:cs="游ゴシック" w:eastAsia="游ゴシック" w:hAnsi="游ゴシック"/>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ハラスメント傾向分析 受検のご案内文テンプレート</dc:title>
  <dc:creator>株式会社シャイン ポテクト事業部</dc:creator>
  <cp:lastModifiedBy>Un-named</cp:lastModifiedBy>
  <cp:revision>1</cp:revision>
  <dcterms:created xsi:type="dcterms:W3CDTF">2026-10-28T06:21:43.187Z</dcterms:created>
  <dcterms:modified xsi:type="dcterms:W3CDTF">2026-10-28T06:21:43.187Z</dcterms:modified>
</cp:coreProperties>
</file>

<file path=docProps/custom.xml><?xml version="1.0" encoding="utf-8"?>
<Properties xmlns="http://schemas.openxmlformats.org/officeDocument/2006/custom-properties" xmlns:vt="http://schemas.openxmlformats.org/officeDocument/2006/docPropsVTypes"/>
</file>